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lineRule="auto" w:line="288"/>
        <w:rPr>
          <w:rFonts w:ascii="Times New Roman" w:hAnsi="Times New Roman" w:eastAsia="Times New Roman" w:cs="Times New Roman"/>
          <w:b/>
          <w:b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i/>
          <w:iCs/>
          <w:sz w:val="24"/>
          <w:szCs w:val="24"/>
          <w:lang w:eastAsia="pl-PL"/>
        </w:rPr>
      </w:r>
    </w:p>
    <w:p>
      <w:pPr>
        <w:pStyle w:val="BodyText"/>
        <w:spacing w:lineRule="auto" w:line="288"/>
        <w:rPr>
          <w:rFonts w:ascii="Times New Roman" w:hAnsi="Times New Roman" w:eastAsia="Times New Roman" w:cs="Times New Roman"/>
          <w:b/>
          <w:b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i/>
          <w:iCs/>
          <w:sz w:val="24"/>
          <w:szCs w:val="24"/>
          <w:lang w:eastAsia="pl-PL"/>
        </w:rPr>
      </w:r>
    </w:p>
    <w:p>
      <w:pPr>
        <w:pStyle w:val="BodyText"/>
        <w:spacing w:lineRule="auto" w:line="288"/>
        <w:rPr>
          <w:rFonts w:ascii="Times New Roman" w:hAnsi="Times New Roman" w:eastAsia="Times New Roman" w:cs="Times New Roman"/>
          <w:b/>
          <w:b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i/>
          <w:iCs/>
          <w:sz w:val="24"/>
          <w:szCs w:val="24"/>
          <w:lang w:eastAsia="pl-PL"/>
        </w:rPr>
        <w:t>Za</w:t>
      </w:r>
      <w:r>
        <w:rPr>
          <w:rFonts w:ascii="Times New Roman" w:hAnsi="Times New Roman"/>
          <w:b/>
        </w:rPr>
        <w:t>łącznik nr 1 do Umowy</w:t>
      </w:r>
    </w:p>
    <w:tbl>
      <w:tblPr>
        <w:tblW w:w="10140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5"/>
        <w:gridCol w:w="3015"/>
        <w:gridCol w:w="1506"/>
        <w:gridCol w:w="1314"/>
        <w:gridCol w:w="1051"/>
        <w:gridCol w:w="1334"/>
        <w:gridCol w:w="1305"/>
      </w:tblGrid>
      <w:tr>
        <w:trPr>
          <w:trHeight w:val="1470" w:hRule="atLeast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rPr>
                <w:rFonts w:ascii="Times New Roman" w:hAnsi="Times New Roman" w:cs="Times New Roman"/>
                <w:b/>
              </w:rPr>
            </w:pPr>
            <w:r>
              <w:rPr>
                <w:rFonts w:cs="Times New Roman" w:ascii="Times New Roman" w:hAnsi="Times New Roman"/>
                <w:b/>
              </w:rPr>
            </w:r>
          </w:p>
          <w:p>
            <w:pPr>
              <w:pStyle w:val="Normal"/>
              <w:spacing w:lineRule="auto" w:line="360" w:before="0" w:after="160"/>
              <w:rPr>
                <w:rFonts w:ascii="Times New Roman" w:hAnsi="Times New Roman" w:cs="Times New Roman"/>
                <w:b/>
              </w:rPr>
            </w:pPr>
            <w:r>
              <w:rPr>
                <w:rFonts w:cs="Times New Roman" w:ascii="Times New Roman" w:hAnsi="Times New Roman"/>
                <w:b/>
              </w:rPr>
              <w:t>Lp</w:t>
            </w:r>
          </w:p>
        </w:tc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  <w:p>
            <w:pPr>
              <w:pStyle w:val="Normal"/>
              <w:spacing w:lineRule="auto" w:line="360" w:before="0" w:after="16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Nazwa badania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  <w:p>
            <w:pPr>
              <w:pStyle w:val="Normal"/>
              <w:spacing w:lineRule="auto" w:line="240" w:before="0" w:after="16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 xml:space="preserve">Jednostka rozliczeniowa 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bidi w:val="0"/>
              <w:snapToGrid w:val="false"/>
              <w:jc w:val="center"/>
              <w:rPr>
                <w:rFonts w:ascii="Arial" w:hAnsi="Arial" w:cs="Arial"/>
                <w:b/>
                <w:i w:val="false"/>
                <w:i w:val="false"/>
                <w:strike w:val="false"/>
                <w:dstrike w:val="false"/>
                <w:outline w:val="false"/>
                <w:shadow w:val="false"/>
                <w:sz w:val="20"/>
                <w:szCs w:val="20"/>
                <w:u w:val="none"/>
                <w:em w:val="none"/>
              </w:rPr>
            </w:pPr>
            <w:r>
              <w:rPr>
                <w:rFonts w:cs="Arial" w:ascii="Arial" w:hAnsi="Arial"/>
                <w:b/>
                <w:i w:val="false"/>
                <w:strike w:val="false"/>
                <w:dstrike w:val="false"/>
                <w:outline w:val="false"/>
                <w:shadow w:val="false"/>
                <w:sz w:val="20"/>
                <w:szCs w:val="20"/>
                <w:u w:val="none"/>
                <w:em w:val="none"/>
              </w:rPr>
            </w:r>
          </w:p>
          <w:p>
            <w:pPr>
              <w:pStyle w:val="Normal"/>
              <w:bidi w:val="0"/>
              <w:jc w:val="left"/>
              <w:rPr>
                <w:rFonts w:ascii="Times New Roman" w:hAnsi="Times New Roman" w:cs="Times New Roman"/>
                <w:b/>
                <w:i w:val="false"/>
                <w:i w:val="false"/>
                <w:strike w:val="false"/>
                <w:dstrike w:val="false"/>
                <w:outline w:val="false"/>
                <w:shadow w:val="false"/>
                <w:sz w:val="20"/>
                <w:szCs w:val="20"/>
                <w:u w:val="none"/>
                <w:em w:val="none"/>
              </w:rPr>
            </w:pPr>
            <w:r>
              <w:rPr>
                <w:rFonts w:cs="Times New Roman" w:ascii="Times New Roman" w:hAnsi="Times New Roman"/>
                <w:b/>
                <w:i w:val="false"/>
                <w:strike w:val="false"/>
                <w:dstrike w:val="false"/>
                <w:outline w:val="false"/>
                <w:shadow w:val="false"/>
                <w:sz w:val="20"/>
                <w:szCs w:val="20"/>
                <w:u w:val="none"/>
                <w:em w:val="none"/>
              </w:rPr>
              <w:t>Szacunkowa ilość badań w ciągu roku</w:t>
            </w:r>
          </w:p>
          <w:p>
            <w:pPr>
              <w:pStyle w:val="Normal"/>
              <w:spacing w:lineRule="auto" w:line="360" w:before="0" w:after="16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bidi w:val="0"/>
              <w:spacing w:lineRule="auto" w:line="240"/>
              <w:jc w:val="left"/>
              <w:rPr>
                <w:rFonts w:ascii="Times New Roman" w:hAnsi="Times New Roman" w:cs="Times New Roman"/>
                <w:b/>
                <w:i w:val="false"/>
                <w:i w:val="false"/>
                <w:strike w:val="false"/>
                <w:dstrike w:val="false"/>
                <w:outline w:val="false"/>
                <w:shadow w:val="false"/>
                <w:sz w:val="20"/>
                <w:szCs w:val="20"/>
                <w:u w:val="none"/>
                <w:em w:val="none"/>
              </w:rPr>
            </w:pPr>
            <w:r>
              <w:rPr>
                <w:rFonts w:cs="Times New Roman" w:ascii="Times New Roman" w:hAnsi="Times New Roman"/>
                <w:b/>
                <w:i w:val="false"/>
                <w:strike w:val="false"/>
                <w:dstrike w:val="false"/>
                <w:outline w:val="false"/>
                <w:shadow w:val="false"/>
                <w:sz w:val="20"/>
                <w:szCs w:val="20"/>
                <w:u w:val="none"/>
                <w:em w:val="none"/>
              </w:rPr>
              <w:t>Cena  jednostkowa badania brutto</w:t>
            </w:r>
          </w:p>
          <w:p>
            <w:pPr>
              <w:pStyle w:val="Normal"/>
              <w:spacing w:lineRule="auto" w:line="360" w:before="0" w:after="16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lineRule="auto" w:line="240"/>
              <w:jc w:val="left"/>
              <w:rPr>
                <w:rFonts w:ascii="Times New Roman" w:hAnsi="Times New Roman" w:cs="Times New Roman"/>
                <w:b/>
                <w:i w:val="false"/>
                <w:i w:val="false"/>
                <w:strike w:val="false"/>
                <w:dstrike w:val="false"/>
                <w:outline w:val="false"/>
                <w:shadow w:val="false"/>
                <w:sz w:val="20"/>
                <w:szCs w:val="20"/>
                <w:u w:val="none"/>
                <w:em w:val="none"/>
              </w:rPr>
            </w:pPr>
            <w:r>
              <w:rPr>
                <w:rFonts w:cs="Times New Roman" w:ascii="Times New Roman" w:hAnsi="Times New Roman"/>
                <w:b/>
                <w:i w:val="false"/>
                <w:strike w:val="false"/>
                <w:dstrike w:val="false"/>
                <w:outline w:val="false"/>
                <w:shadow w:val="false"/>
                <w:sz w:val="20"/>
                <w:szCs w:val="20"/>
                <w:u w:val="none"/>
                <w:em w:val="none"/>
              </w:rPr>
              <w:t>Szacunkowa kwota brutto badań w okresie 1 roku</w:t>
            </w:r>
          </w:p>
          <w:p>
            <w:pPr>
              <w:pStyle w:val="Normal"/>
              <w:spacing w:lineRule="auto" w:line="360" w:before="0" w:after="16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16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sz w:val="20"/>
                <w:szCs w:val="20"/>
              </w:rPr>
              <w:t>Czas oczekiwania na wynik badania</w:t>
            </w:r>
          </w:p>
        </w:tc>
      </w:tr>
      <w:tr>
        <w:trPr>
          <w:trHeight w:val="469" w:hRule="atLeast"/>
        </w:trPr>
        <w:tc>
          <w:tcPr>
            <w:tcW w:w="6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  <w:b/>
              </w:rPr>
            </w:pPr>
            <w:r>
              <w:rPr>
                <w:rFonts w:cs="Times New Roman" w:ascii="Times New Roman" w:hAnsi="Times New Roman"/>
                <w:b/>
              </w:rPr>
            </w:r>
          </w:p>
        </w:tc>
        <w:tc>
          <w:tcPr>
            <w:tcW w:w="30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150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31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bidi w:val="0"/>
              <w:spacing w:before="0" w:after="16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1051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bidi w:val="0"/>
              <w:spacing w:before="0" w:after="16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</w:t>
            </w:r>
          </w:p>
        </w:tc>
        <w:tc>
          <w:tcPr>
            <w:tcW w:w="13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16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c x d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bCs/>
                <w:sz w:val="22"/>
                <w:szCs w:val="22"/>
              </w:rPr>
              <w:t>e</w:t>
            </w:r>
          </w:p>
        </w:tc>
      </w:tr>
      <w:tr>
        <w:trPr/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1</w:t>
            </w:r>
          </w:p>
        </w:tc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Porada specjalistyczna lekarza specjalisty w dziedzinie genetyki klinicznej</w:t>
            </w:r>
          </w:p>
          <w:p>
            <w:pPr>
              <w:pStyle w:val="Normal"/>
              <w:spacing w:lineRule="auto" w:line="24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porada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278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/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2</w:t>
            </w:r>
          </w:p>
        </w:tc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Badanie mutacji  w genie BRCA1</w:t>
            </w:r>
          </w:p>
          <w:p>
            <w:pPr>
              <w:pStyle w:val="Normal"/>
              <w:spacing w:lineRule="auto" w:line="24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 xml:space="preserve">badanie 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82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/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3</w:t>
            </w:r>
          </w:p>
        </w:tc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Badanie mutacji w genach CHEK2 i PALB2</w:t>
            </w:r>
          </w:p>
          <w:p>
            <w:pPr>
              <w:pStyle w:val="Normal"/>
              <w:spacing w:lineRule="auto" w:line="24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 xml:space="preserve">badanie 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82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/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4</w:t>
            </w:r>
          </w:p>
        </w:tc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Badanie mutacji w genach BRCA1, BRCA2,PALB2, CHEK2 metodą NGS</w:t>
            </w:r>
          </w:p>
          <w:p>
            <w:pPr>
              <w:pStyle w:val="Normal"/>
              <w:spacing w:lineRule="auto" w:line="24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komplet badań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12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>
          <w:trHeight w:val="557" w:hRule="atLeast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5</w:t>
            </w:r>
          </w:p>
        </w:tc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Badanie rodzinnej mutacji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badanie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18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/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6</w:t>
            </w:r>
          </w:p>
        </w:tc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Badania immunohistochemiczne w przypadku diagnozy raka piersi w biopsji gruboigłowej</w:t>
            </w:r>
          </w:p>
          <w:p>
            <w:pPr>
              <w:pStyle w:val="Normal"/>
              <w:spacing w:lineRule="auto" w:line="24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badanie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0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/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7</w:t>
            </w:r>
          </w:p>
        </w:tc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Badanie niestabilności mikrosatelitarnej z tkanki – badanie genetyczne</w:t>
            </w:r>
          </w:p>
          <w:p>
            <w:pPr>
              <w:pStyle w:val="Normal"/>
              <w:spacing w:lineRule="auto" w:line="24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badanie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0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/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8</w:t>
            </w:r>
          </w:p>
        </w:tc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Badanie niestabilności mikrosatelitarnej z tkanki – badanie immunohistochemiczne</w:t>
            </w:r>
          </w:p>
          <w:p>
            <w:pPr>
              <w:pStyle w:val="Normal"/>
              <w:spacing w:lineRule="auto" w:line="24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badanie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0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/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9</w:t>
            </w:r>
          </w:p>
        </w:tc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Badanie w kierunku wykrycia mutacji w genie APC wykonywane metodami biologii molekularnej  ( PCR i jej modyfikacje, RFLP, sekwencjonowanie Sangera, MLPA</w:t>
            </w:r>
          </w:p>
          <w:p>
            <w:pPr>
              <w:pStyle w:val="Normal"/>
              <w:spacing w:lineRule="auto" w:line="24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badanie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18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/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10</w:t>
            </w:r>
          </w:p>
        </w:tc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Badanie w kierunku wykrycia mutacji w genach MLH1, MSH2, MSH6, PMS2 wykonywane metodami  biologii molekularnej  ( PCR i jej modyfikacje , RFLP, sekwencjonowanie Sangera, MLPA )</w:t>
            </w:r>
          </w:p>
          <w:p>
            <w:pPr>
              <w:pStyle w:val="Normal"/>
              <w:spacing w:lineRule="auto" w:line="24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badanie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50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/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11</w:t>
            </w:r>
          </w:p>
        </w:tc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Badania w kierunku wykrycia mutacji w genie STK11 wykonywane metodami biologii molekularnej  ( PCR i jej modyfikacje , RFLP, sekwencjonowanie  Sangera , MLPA)</w:t>
            </w:r>
          </w:p>
          <w:p>
            <w:pPr>
              <w:pStyle w:val="Normal"/>
              <w:spacing w:lineRule="auto" w:line="24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badanie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4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/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12</w:t>
            </w:r>
          </w:p>
        </w:tc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Badania w kierunku wykrycia mutacji w genach SMAD4 i BMPR1A wykonywane metodami biologii molekularnej  ( PCR i jej modyfikacje , RFLP, sekwencjonowanie  Sangera , MLPA)</w:t>
            </w:r>
          </w:p>
          <w:p>
            <w:pPr>
              <w:pStyle w:val="Normal"/>
              <w:spacing w:lineRule="auto" w:line="24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 xml:space="preserve">badanie 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4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/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13</w:t>
            </w:r>
          </w:p>
        </w:tc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Badania w kierunku wykrycia mutacji w genie  MUTYH wykonywane metodami biologii molekularnej  ( PCR i jej modyfikacje , RFLP, sekwencjonowanie  Sangera , MLPA)</w:t>
            </w:r>
          </w:p>
          <w:p>
            <w:pPr>
              <w:pStyle w:val="Normal"/>
              <w:spacing w:lineRule="auto" w:line="24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 xml:space="preserve">badanie 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4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/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14</w:t>
            </w:r>
          </w:p>
        </w:tc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Wykrycie nosicielstwa mutacji w genach APC, MLH1, MSH2, MSH6, PMS2, STK11, SMAD4, BMPRIA, MUTYH, EPCAM, PTEN, wykonywanego metodami biologii molekularnej  z zastosowaniem techniki sekwencjonowania następnej generacji(NGS)</w:t>
            </w:r>
          </w:p>
          <w:p>
            <w:pPr>
              <w:pStyle w:val="Normal"/>
              <w:spacing w:lineRule="auto" w:line="24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badanie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8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/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15</w:t>
            </w:r>
          </w:p>
        </w:tc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Przezskórna gruboigłowa biopsja piersi-celowana</w:t>
            </w:r>
          </w:p>
          <w:p>
            <w:pPr>
              <w:pStyle w:val="Normal"/>
              <w:spacing w:lineRule="auto" w:line="24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badanie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0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/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16</w:t>
            </w:r>
          </w:p>
        </w:tc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Biopsja gruboigłowa piersi wspomagana próżnią pod kontrolą USG</w:t>
            </w:r>
          </w:p>
          <w:p>
            <w:pPr>
              <w:pStyle w:val="Normal"/>
              <w:spacing w:lineRule="auto" w:line="24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badanie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0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/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17</w:t>
            </w:r>
          </w:p>
        </w:tc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 xml:space="preserve">Biopsja gruboigłowa piersi wspomagana próżnią stereotaktyczną </w:t>
            </w:r>
          </w:p>
          <w:p>
            <w:pPr>
              <w:pStyle w:val="Normal"/>
              <w:spacing w:lineRule="auto" w:line="24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badanie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0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/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18</w:t>
            </w:r>
          </w:p>
        </w:tc>
        <w:tc>
          <w:tcPr>
            <w:tcW w:w="3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Biopsja aspiracyjna cienkoigłowa tarczycy – celowana</w:t>
            </w:r>
          </w:p>
          <w:p>
            <w:pPr>
              <w:pStyle w:val="Normal"/>
              <w:spacing w:lineRule="auto" w:line="24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badanie</w:t>
            </w:r>
          </w:p>
        </w:tc>
        <w:tc>
          <w:tcPr>
            <w:tcW w:w="1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0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napToGrid w:val="false"/>
              <w:spacing w:lineRule="auto" w:line="360" w:before="0" w:after="16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</w:tbl>
    <w:p>
      <w:pPr>
        <w:pStyle w:val="Normal"/>
        <w:spacing w:before="0" w:after="160"/>
        <w:rPr>
          <w:rFonts w:ascii="Times New Roman" w:hAnsi="Times New Roman" w:eastAsia="Times New Roman" w:cs="Times New Roman"/>
          <w:b/>
          <w:bCs/>
          <w:sz w:val="12"/>
          <w:szCs w:val="12"/>
          <w:lang w:eastAsia="pl-PL"/>
        </w:rPr>
      </w:pPr>
      <w:r>
        <w:rPr>
          <w:rFonts w:eastAsia="Times New Roman" w:cs="Times New Roman" w:ascii="Times New Roman" w:hAnsi="Times New Roman"/>
          <w:b/>
          <w:bCs/>
          <w:sz w:val="12"/>
          <w:szCs w:val="12"/>
          <w:lang w:eastAsia="pl-PL"/>
        </w:rPr>
      </w:r>
    </w:p>
    <w:sectPr>
      <w:type w:val="nextPage"/>
      <w:pgSz w:w="11906" w:h="16838"/>
      <w:pgMar w:left="1418" w:right="1418" w:gutter="0" w:header="0" w:top="1191" w:footer="0" w:bottom="1304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Times New Roman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360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 w:customStyle="1">
    <w:name w:val="Indeks (user)"/>
    <w:basedOn w:val="Normal"/>
    <w:qFormat/>
    <w:pPr>
      <w:suppressLineNumbers/>
    </w:pPr>
    <w:rPr>
      <w:rFonts w:cs="Lucida Sans"/>
    </w:rPr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Standardowy1" w:customStyle="1">
    <w:name w:val="Standardowy1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Mangal" w:cs="Liberation Serif"/>
      <w:color w:val="auto"/>
      <w:kern w:val="0"/>
      <w:sz w:val="20"/>
      <w:szCs w:val="24"/>
      <w:lang w:val="pl-PL" w:eastAsia="pl-PL" w:bidi="ar-SA"/>
    </w:rPr>
  </w:style>
  <w:style w:type="paragraph" w:styleId="Zawartotabeliuser" w:customStyle="1">
    <w:name w:val="Zawartość tabeli (user)"/>
    <w:basedOn w:val="Normal"/>
    <w:qFormat/>
    <w:pPr/>
    <w:rPr/>
  </w:style>
  <w:style w:type="paragraph" w:styleId="Tabela-Siatka1" w:customStyle="1">
    <w:name w:val="Tabela - Siatka1"/>
    <w:basedOn w:val="Standardowy1"/>
    <w:qFormat/>
    <w:pPr/>
    <w:rPr/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896443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Application>LibreOffice/25.2.7.2$Windows_X86_64 LibreOffice_project/5cbfd1ab6520636bb5f7b99185aa69bd7456825d</Application>
  <AppVersion>15.0000</AppVersion>
  <Pages>3</Pages>
  <Words>319</Words>
  <Characters>1871</Characters>
  <CharactersWithSpaces>2126</CharactersWithSpaces>
  <Paragraphs>86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2022-04-01T09:09:00Z</dcterms:created>
  <dc:creator>Joanna Grabowska</dc:creator>
  <dc:description/>
  <dc:language>pl-PL</dc:language>
  <cp:lastModifiedBy/>
  <cp:lastPrinted>2025-12-04T12:48:07Z</cp:lastPrinted>
  <dcterms:modified xsi:type="dcterms:W3CDTF">2025-12-08T14:07:54Z</dcterms:modified>
  <cp:revision>47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